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241"/>
        <w:gridCol w:w="7479"/>
      </w:tblGrid>
      <w:tr>
        <w:trPr>
          <w:trHeight w:val="1" w:hRule="atLeast"/>
          <w:jc w:val="left"/>
        </w:trPr>
        <w:tc>
          <w:tcPr>
            <w:tcW w:w="87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5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56"/>
                <w:shd w:fill="auto" w:val="clear"/>
              </w:rPr>
              <w:t xml:space="preserve">GRUPO III – BEBIDAS E ALIMENTAÇÃO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7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Sorteados</w:t>
            </w: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DELÍCIAS DA LEIA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51.490.428/0001-09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CANTINHO DO SABOR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41.785.274/0001-10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DIO SANTO FAST FOOD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44.290.684/0001-89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CASA GABBI HAPPY HOUR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06.139.807/0001-96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Suplentes</w:t>
            </w: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MARIA MARGARITA ACOSTA GUTIERREZ- PITSTOP CONVENIENCE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43.028.689/0001-75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ESPIRAL TRANCE BR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43.546.429/0001-91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CIA DA BATATINHA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46.156.963/0001-80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MLP FRANQUEADORA – ESPETINO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48.447.017/0001-18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QUENIA – MATRIZ ESPETINO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14.554.820/0001-30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TOUCH ENTRETENIMENTO LTDA – REDE TOUCH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46.730.841/0001-55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OBA FOOD SERVICE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48.401.254/0001-48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</w:trPr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